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A075A" w14:textId="451C980A" w:rsidR="00875D93" w:rsidRPr="00AE78BE" w:rsidRDefault="00875D93" w:rsidP="00AE78BE">
      <w:pPr>
        <w:pStyle w:val="Odstavekseznama"/>
        <w:keepNext/>
        <w:keepLines/>
        <w:numPr>
          <w:ilvl w:val="0"/>
          <w:numId w:val="4"/>
        </w:numPr>
        <w:jc w:val="both"/>
        <w:rPr>
          <w:rFonts w:ascii="Tahoma" w:hAnsi="Tahoma" w:cs="Tahoma"/>
          <w:b/>
          <w:sz w:val="24"/>
        </w:rPr>
      </w:pPr>
      <w:r w:rsidRPr="00AE78BE">
        <w:rPr>
          <w:rFonts w:ascii="Tahoma" w:hAnsi="Tahoma" w:cs="Tahoma"/>
          <w:b/>
          <w:sz w:val="24"/>
        </w:rPr>
        <w:t>MERILA ZA IZBIRO PONUDNIKOV</w:t>
      </w:r>
    </w:p>
    <w:p w14:paraId="5AD8CAAE" w14:textId="77777777" w:rsidR="00875D93" w:rsidRPr="00771D4F" w:rsidRDefault="00875D93" w:rsidP="00875D93">
      <w:pPr>
        <w:keepNext/>
        <w:keepLines/>
        <w:rPr>
          <w:rFonts w:ascii="Tahoma" w:hAnsi="Tahoma" w:cs="Tahoma"/>
          <w:b/>
          <w:sz w:val="24"/>
        </w:rPr>
      </w:pPr>
    </w:p>
    <w:p w14:paraId="49E45DE3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w:r w:rsidRPr="00771D4F">
        <w:rPr>
          <w:rFonts w:ascii="Tahoma" w:hAnsi="Tahoma" w:cs="Tahoma"/>
        </w:rPr>
        <w:t>Naročnik bo ponudbe ovrednotil na podlagi naslednjih meril:</w:t>
      </w:r>
    </w:p>
    <w:p w14:paraId="58F29DC9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6E9C1D6E" w14:textId="77777777" w:rsidR="00875D93" w:rsidRPr="00771D4F" w:rsidRDefault="00875D93" w:rsidP="00875D93">
      <w:pPr>
        <w:pStyle w:val="Odstavekseznama"/>
        <w:keepNext/>
        <w:keepLines/>
        <w:numPr>
          <w:ilvl w:val="1"/>
          <w:numId w:val="2"/>
        </w:numPr>
        <w:spacing w:after="200" w:line="276" w:lineRule="auto"/>
        <w:ind w:left="357" w:hanging="357"/>
        <w:contextualSpacing/>
        <w:jc w:val="both"/>
        <w:rPr>
          <w:rFonts w:ascii="Tahoma" w:hAnsi="Tahoma" w:cs="Tahoma"/>
        </w:rPr>
      </w:pPr>
      <w:r w:rsidRPr="00771D4F">
        <w:rPr>
          <w:rFonts w:ascii="Tahoma" w:hAnsi="Tahoma" w:cs="Tahoma"/>
        </w:rPr>
        <w:t>Nabavne oz. ponudbene cene avtobusa.</w:t>
      </w:r>
    </w:p>
    <w:p w14:paraId="7621F700" w14:textId="77777777" w:rsidR="00875D93" w:rsidRPr="00771D4F" w:rsidRDefault="00875D93" w:rsidP="00875D93">
      <w:pPr>
        <w:pStyle w:val="Odstavekseznama"/>
        <w:keepNext/>
        <w:keepLines/>
        <w:numPr>
          <w:ilvl w:val="1"/>
          <w:numId w:val="2"/>
        </w:numPr>
        <w:spacing w:after="200" w:line="360" w:lineRule="auto"/>
        <w:ind w:left="357" w:hanging="357"/>
        <w:contextualSpacing/>
        <w:rPr>
          <w:rFonts w:ascii="Tahoma" w:hAnsi="Tahoma" w:cs="Tahoma"/>
        </w:rPr>
      </w:pPr>
      <w:r w:rsidRPr="00771D4F">
        <w:rPr>
          <w:rFonts w:ascii="Tahoma" w:hAnsi="Tahoma" w:cs="Tahoma"/>
        </w:rPr>
        <w:t>Tehnične izvedbe ponujenih avtobusov.</w:t>
      </w:r>
    </w:p>
    <w:p w14:paraId="100DA686" w14:textId="77777777" w:rsidR="00875D93" w:rsidRPr="00771D4F" w:rsidRDefault="00875D93" w:rsidP="00875D93">
      <w:pPr>
        <w:keepNext/>
        <w:keepLines/>
        <w:spacing w:after="200" w:line="360" w:lineRule="auto"/>
        <w:contextualSpacing/>
        <w:jc w:val="both"/>
        <w:rPr>
          <w:rFonts w:ascii="Tahoma" w:hAnsi="Tahoma" w:cs="Tahoma"/>
        </w:rPr>
      </w:pPr>
      <w:r w:rsidRPr="00771D4F">
        <w:rPr>
          <w:rFonts w:ascii="Tahoma" w:hAnsi="Tahoma" w:cs="Tahoma"/>
        </w:rPr>
        <w:t xml:space="preserve">Vse ponudbe bo naročnik točkoval. </w:t>
      </w:r>
      <w:r w:rsidRPr="00771D4F">
        <w:rPr>
          <w:rFonts w:ascii="Tahoma" w:hAnsi="Tahoma" w:cs="Tahoma"/>
          <w:b/>
        </w:rPr>
        <w:t>Naročnik bo izbral ponudbo, ki bo dosegla največje število točk</w:t>
      </w:r>
      <w:r w:rsidRPr="00771D4F">
        <w:rPr>
          <w:rFonts w:ascii="Tahoma" w:hAnsi="Tahoma" w:cs="Tahoma"/>
        </w:rPr>
        <w:t>.</w:t>
      </w:r>
    </w:p>
    <w:p w14:paraId="76BA2F54" w14:textId="77777777" w:rsidR="00875D93" w:rsidRPr="00771D4F" w:rsidRDefault="00875D93" w:rsidP="00875D93">
      <w:pPr>
        <w:keepNext/>
        <w:keepLines/>
        <w:jc w:val="both"/>
        <w:rPr>
          <w:rFonts w:ascii="Tahoma" w:hAnsi="Tahoma" w:cs="Tahoma"/>
        </w:rPr>
      </w:pPr>
    </w:p>
    <w:p w14:paraId="5FB6A2BF" w14:textId="77777777" w:rsidR="00875D93" w:rsidRPr="00771D4F" w:rsidRDefault="00875D93" w:rsidP="00875D93">
      <w:pPr>
        <w:keepNext/>
        <w:keepLines/>
        <w:jc w:val="both"/>
        <w:rPr>
          <w:rFonts w:ascii="Tahoma" w:hAnsi="Tahoma" w:cs="Tahoma"/>
        </w:rPr>
      </w:pPr>
      <w:r w:rsidRPr="00771D4F">
        <w:rPr>
          <w:rFonts w:ascii="Tahoma" w:hAnsi="Tahoma" w:cs="Tahoma"/>
        </w:rPr>
        <w:t xml:space="preserve">Enota za vrednotenje ponudb je točka. Doseženo </w:t>
      </w:r>
      <w:r w:rsidRPr="00771D4F">
        <w:rPr>
          <w:rFonts w:ascii="Tahoma" w:hAnsi="Tahoma" w:cs="Tahoma"/>
          <w:b/>
        </w:rPr>
        <w:t>skupno število točk</w:t>
      </w:r>
      <w:r w:rsidRPr="00771D4F">
        <w:rPr>
          <w:rFonts w:ascii="Tahoma" w:hAnsi="Tahoma" w:cs="Tahoma"/>
        </w:rPr>
        <w:t xml:space="preserve"> je enako vsoti doseženega števila točk pri posameznem merilu. Vse ponudbe bodo točkovane s pomočjo naslednje formule:</w:t>
      </w:r>
    </w:p>
    <w:p w14:paraId="7C8E75B0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0045EE42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Para>
        <m:oMath>
          <m:sSub>
            <m:sSubPr>
              <m:ctrlPr>
                <w:rPr>
                  <w:rFonts w:ascii="Cambria Math" w:hAnsi="Cambria Math" w:cs="Tahoma"/>
                  <w:i/>
                </w:rPr>
              </m:ctrlPr>
            </m:sSubPr>
            <m:e>
              <m:r>
                <w:rPr>
                  <w:rFonts w:ascii="Cambria Math" w:hAnsi="Cambria Math" w:cs="Tahoma"/>
                </w:rPr>
                <m:t>T</m:t>
              </m:r>
            </m:e>
            <m:sub>
              <m:r>
                <w:rPr>
                  <w:rFonts w:ascii="Cambria Math" w:hAnsi="Cambria Math" w:cs="Tahoma"/>
                </w:rPr>
                <m:t>x</m:t>
              </m:r>
            </m:sub>
          </m:sSub>
          <m:r>
            <w:rPr>
              <w:rFonts w:ascii="Cambria Math" w:hAnsi="Cambria Math" w:cs="Tahoma"/>
            </w:rPr>
            <m:t>=</m:t>
          </m:r>
          <m:sSub>
            <m:sSubPr>
              <m:ctrlPr>
                <w:rPr>
                  <w:rFonts w:ascii="Cambria Math" w:hAnsi="Cambria Math" w:cs="Tahoma"/>
                  <w:i/>
                </w:rPr>
              </m:ctrlPr>
            </m:sSubPr>
            <m:e>
              <m:r>
                <w:rPr>
                  <w:rFonts w:ascii="Cambria Math" w:hAnsi="Cambria Math" w:cs="Tahoma"/>
                </w:rPr>
                <m:t>T</m:t>
              </m:r>
            </m:e>
            <m:sub>
              <m:r>
                <w:rPr>
                  <w:rFonts w:ascii="Cambria Math" w:hAnsi="Cambria Math" w:cs="Tahoma"/>
                </w:rPr>
                <m:t>NCx</m:t>
              </m:r>
            </m:sub>
          </m:sSub>
          <m:r>
            <w:rPr>
              <w:rFonts w:ascii="Cambria Math" w:hAnsi="Cambria Math" w:cs="Tahoma"/>
            </w:rPr>
            <m:t>+</m:t>
          </m:r>
          <m:sSub>
            <m:sSubPr>
              <m:ctrlPr>
                <w:rPr>
                  <w:rFonts w:ascii="Cambria Math" w:hAnsi="Cambria Math" w:cs="Tahoma"/>
                  <w:i/>
                </w:rPr>
              </m:ctrlPr>
            </m:sSubPr>
            <m:e>
              <m:r>
                <w:rPr>
                  <w:rFonts w:ascii="Cambria Math" w:hAnsi="Cambria Math" w:cs="Tahoma"/>
                </w:rPr>
                <m:t>T</m:t>
              </m:r>
            </m:e>
            <m:sub>
              <m:r>
                <w:rPr>
                  <w:rFonts w:ascii="Cambria Math" w:hAnsi="Cambria Math" w:cs="Tahoma"/>
                </w:rPr>
                <m:t>TIx</m:t>
              </m:r>
            </m:sub>
          </m:sSub>
        </m:oMath>
      </m:oMathPara>
    </w:p>
    <w:p w14:paraId="15D1FD45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33EE08C0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w:r w:rsidRPr="00771D4F">
        <w:rPr>
          <w:rFonts w:ascii="Tahoma" w:hAnsi="Tahoma" w:cs="Tahoma"/>
        </w:rPr>
        <w:t>kjer pomeni:</w:t>
      </w:r>
    </w:p>
    <w:p w14:paraId="4DD276F0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T</m:t>
            </m:r>
          </m:e>
          <m:sub>
            <m:r>
              <w:rPr>
                <w:rFonts w:ascii="Cambria Math" w:hAnsi="Cambria Math" w:cs="Tahoma"/>
              </w:rPr>
              <m:t>x</m:t>
            </m:r>
          </m:sub>
        </m:sSub>
      </m:oMath>
      <w:r w:rsidRPr="00771D4F">
        <w:rPr>
          <w:rFonts w:ascii="Tahoma" w:hAnsi="Tahoma" w:cs="Tahoma"/>
        </w:rPr>
        <w:t xml:space="preserve"> = skupno število točk ponudbe </w:t>
      </w:r>
      <m:oMath>
        <m:r>
          <w:rPr>
            <w:rFonts w:ascii="Cambria Math" w:hAnsi="Cambria Math" w:cs="Tahoma"/>
          </w:rPr>
          <m:t>x</m:t>
        </m:r>
      </m:oMath>
      <w:r w:rsidRPr="00771D4F">
        <w:rPr>
          <w:rFonts w:ascii="Tahoma" w:hAnsi="Tahoma" w:cs="Tahoma"/>
        </w:rPr>
        <w:t xml:space="preserve"> </w:t>
      </w:r>
      <m:oMath>
        <m:d>
          <m:dPr>
            <m:ctrlPr>
              <w:rPr>
                <w:rFonts w:ascii="Cambria Math" w:hAnsi="Cambria Math" w:cs="Tahoma"/>
                <w:i/>
              </w:rPr>
            </m:ctrlPr>
          </m:dPr>
          <m:e>
            <m:r>
              <w:rPr>
                <w:rFonts w:ascii="Cambria Math" w:hAnsi="Cambria Math" w:cs="Tahoma"/>
              </w:rPr>
              <m:t>x=1,2,…n</m:t>
            </m:r>
          </m:e>
        </m:d>
      </m:oMath>
    </w:p>
    <w:p w14:paraId="1E29A24B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T</m:t>
            </m:r>
          </m:e>
          <m:sub>
            <m:r>
              <w:rPr>
                <w:rFonts w:ascii="Cambria Math" w:hAnsi="Cambria Math" w:cs="Tahoma"/>
              </w:rPr>
              <m:t>NCx</m:t>
            </m:r>
          </m:sub>
        </m:sSub>
      </m:oMath>
      <w:r w:rsidRPr="00771D4F">
        <w:rPr>
          <w:rFonts w:ascii="Tahoma" w:hAnsi="Tahoma" w:cs="Tahoma"/>
        </w:rPr>
        <w:t xml:space="preserve"> = skupno število točk za ponudbeno ceno avtobusa </w:t>
      </w:r>
      <m:oMath>
        <m:r>
          <w:rPr>
            <w:rFonts w:ascii="Cambria Math" w:hAnsi="Cambria Math" w:cs="Tahoma"/>
          </w:rPr>
          <m:t>x</m:t>
        </m:r>
      </m:oMath>
    </w:p>
    <w:p w14:paraId="3E43C733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T</m:t>
            </m:r>
          </m:e>
          <m:sub>
            <m:r>
              <w:rPr>
                <w:rFonts w:ascii="Cambria Math" w:hAnsi="Cambria Math" w:cs="Tahoma"/>
              </w:rPr>
              <m:t>TIx</m:t>
            </m:r>
          </m:sub>
        </m:sSub>
      </m:oMath>
      <w:r w:rsidRPr="00771D4F">
        <w:rPr>
          <w:rFonts w:ascii="Tahoma" w:hAnsi="Tahoma" w:cs="Tahoma"/>
          <w:vertAlign w:val="subscript"/>
        </w:rPr>
        <w:t xml:space="preserve"> </w:t>
      </w:r>
      <w:r w:rsidRPr="00771D4F">
        <w:rPr>
          <w:rFonts w:ascii="Tahoma" w:hAnsi="Tahoma" w:cs="Tahoma"/>
        </w:rPr>
        <w:t xml:space="preserve"> =  skupno število točk za tehnično izvedbo ponujenih avtobusov ponudbe </w:t>
      </w:r>
      <m:oMath>
        <m:r>
          <w:rPr>
            <w:rFonts w:ascii="Cambria Math" w:hAnsi="Cambria Math" w:cs="Tahoma"/>
          </w:rPr>
          <m:t>x</m:t>
        </m:r>
      </m:oMath>
    </w:p>
    <w:p w14:paraId="493DD2F5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63D2DC44" w14:textId="04510A3B" w:rsidR="00875D93" w:rsidRPr="00771D4F" w:rsidRDefault="00875D93" w:rsidP="00875D93">
      <w:pPr>
        <w:keepNext/>
        <w:keepLines/>
        <w:rPr>
          <w:rFonts w:ascii="Tahoma" w:hAnsi="Tahoma" w:cs="Tahoma"/>
        </w:rPr>
      </w:pPr>
      <w:r w:rsidRPr="00771D4F">
        <w:rPr>
          <w:rFonts w:ascii="Tahoma" w:hAnsi="Tahoma" w:cs="Tahoma"/>
        </w:rPr>
        <w:t xml:space="preserve">Najvišje skupno možno število točk (seštevek obeh meril) znaša </w:t>
      </w:r>
      <w:r w:rsidRPr="00AE78BE">
        <w:rPr>
          <w:rFonts w:ascii="Tahoma" w:hAnsi="Tahoma" w:cs="Tahoma"/>
          <w:b/>
          <w:bCs/>
        </w:rPr>
        <w:t>1</w:t>
      </w:r>
      <w:r w:rsidR="00AE78BE" w:rsidRPr="00AE78BE">
        <w:rPr>
          <w:rFonts w:ascii="Tahoma" w:hAnsi="Tahoma" w:cs="Tahoma"/>
          <w:b/>
          <w:bCs/>
        </w:rPr>
        <w:t>100</w:t>
      </w:r>
      <w:r w:rsidRPr="00AE78BE">
        <w:rPr>
          <w:rFonts w:ascii="Tahoma" w:hAnsi="Tahoma" w:cs="Tahoma"/>
          <w:b/>
          <w:bCs/>
        </w:rPr>
        <w:t xml:space="preserve"> točk</w:t>
      </w:r>
      <w:r w:rsidRPr="00AE78BE">
        <w:rPr>
          <w:rFonts w:ascii="Tahoma" w:hAnsi="Tahoma" w:cs="Tahoma"/>
        </w:rPr>
        <w:t>.</w:t>
      </w:r>
    </w:p>
    <w:p w14:paraId="2B58FFAF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1055B465" w14:textId="77777777" w:rsidR="00875D93" w:rsidRPr="00771D4F" w:rsidRDefault="00875D93" w:rsidP="00875D93">
      <w:pPr>
        <w:pStyle w:val="Odstavekseznama"/>
        <w:keepNext/>
        <w:keepLines/>
        <w:numPr>
          <w:ilvl w:val="0"/>
          <w:numId w:val="3"/>
        </w:numPr>
        <w:ind w:left="284" w:hanging="284"/>
        <w:rPr>
          <w:rFonts w:ascii="Tahoma" w:hAnsi="Tahoma" w:cs="Tahoma"/>
          <w:b/>
        </w:rPr>
      </w:pPr>
      <w:r w:rsidRPr="00771D4F">
        <w:rPr>
          <w:rFonts w:ascii="Tahoma" w:hAnsi="Tahoma" w:cs="Tahoma"/>
          <w:b/>
        </w:rPr>
        <w:t>Merilo »Nabavna oz. ponudbena cena avtobusa«</w:t>
      </w:r>
    </w:p>
    <w:p w14:paraId="42F635AC" w14:textId="77777777" w:rsidR="00875D93" w:rsidRPr="00771D4F" w:rsidRDefault="00875D93" w:rsidP="00875D93">
      <w:pPr>
        <w:pStyle w:val="Odstavekseznama"/>
        <w:keepNext/>
        <w:keepLines/>
        <w:ind w:left="284"/>
        <w:rPr>
          <w:rFonts w:ascii="Tahoma" w:hAnsi="Tahoma" w:cs="Tahoma"/>
        </w:rPr>
      </w:pPr>
    </w:p>
    <w:p w14:paraId="7A75DD0D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Para>
        <m:oMath>
          <m:sSub>
            <m:sSubPr>
              <m:ctrlPr>
                <w:rPr>
                  <w:rFonts w:ascii="Cambria Math" w:hAnsi="Cambria Math" w:cs="Tahoma"/>
                  <w:i/>
                </w:rPr>
              </m:ctrlPr>
            </m:sSubPr>
            <m:e>
              <m:r>
                <w:rPr>
                  <w:rFonts w:ascii="Cambria Math" w:hAnsi="Cambria Math" w:cs="Tahoma"/>
                </w:rPr>
                <m:t>T</m:t>
              </m:r>
            </m:e>
            <m:sub>
              <m:r>
                <w:rPr>
                  <w:rFonts w:ascii="Cambria Math" w:hAnsi="Cambria Math" w:cs="Tahoma"/>
                </w:rPr>
                <m:t>NCx</m:t>
              </m:r>
            </m:sub>
          </m:sSub>
          <m:r>
            <w:rPr>
              <w:rFonts w:ascii="Cambria Math" w:hAnsi="Cambria Math" w:cs="Tahoma"/>
            </w:rPr>
            <m:t>=1000∙</m:t>
          </m:r>
          <m:d>
            <m:dPr>
              <m:ctrlPr>
                <w:rPr>
                  <w:rFonts w:ascii="Cambria Math" w:hAnsi="Cambria Math" w:cs="Tahoma"/>
                  <w:i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 w:cs="Tahoma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ahom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ahoma"/>
                        </w:rPr>
                        <m:t>NC</m:t>
                      </m:r>
                    </m:e>
                    <m:sub>
                      <m:r>
                        <w:rPr>
                          <w:rFonts w:ascii="Cambria Math" w:hAnsi="Cambria Math" w:cs="Tahoma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ahoma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ahoma"/>
                        </w:rPr>
                        <m:t>NC</m:t>
                      </m:r>
                    </m:e>
                    <m:sub>
                      <m:r>
                        <w:rPr>
                          <w:rFonts w:ascii="Cambria Math" w:hAnsi="Cambria Math" w:cs="Tahoma"/>
                        </w:rPr>
                        <m:t>x</m:t>
                      </m:r>
                    </m:sub>
                  </m:sSub>
                </m:den>
              </m:f>
            </m:e>
          </m:d>
        </m:oMath>
      </m:oMathPara>
    </w:p>
    <w:p w14:paraId="16AE2633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31FC2A5A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Para>
        <m:oMath>
          <m:sSub>
            <m:sSubPr>
              <m:ctrlPr>
                <w:rPr>
                  <w:rFonts w:ascii="Cambria Math" w:hAnsi="Cambria Math" w:cs="Tahoma"/>
                  <w:i/>
                </w:rPr>
              </m:ctrlPr>
            </m:sSubPr>
            <m:e>
              <m:r>
                <w:rPr>
                  <w:rFonts w:ascii="Cambria Math" w:hAnsi="Cambria Math" w:cs="Tahoma"/>
                </w:rPr>
                <m:t>T</m:t>
              </m:r>
            </m:e>
            <m:sub>
              <m:r>
                <w:rPr>
                  <w:rFonts w:ascii="Cambria Math" w:hAnsi="Cambria Math" w:cs="Tahoma"/>
                </w:rPr>
                <m:t>TIx</m:t>
              </m:r>
            </m:sub>
          </m:sSub>
          <m:r>
            <w:rPr>
              <w:rFonts w:ascii="Cambria Math" w:hAnsi="Cambria Math" w:cs="Tahoma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ahoma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ahoma"/>
                      <w:i/>
                    </w:rPr>
                  </m:ctrlPr>
                </m:sSubPr>
                <m:e>
                  <m:r>
                    <w:rPr>
                      <w:rFonts w:ascii="Cambria Math" w:hAnsi="Cambria Math" w:cs="Tahoma"/>
                    </w:rPr>
                    <m:t>T</m:t>
                  </m:r>
                </m:e>
                <m:sub>
                  <m:r>
                    <w:rPr>
                      <w:rFonts w:ascii="Cambria Math" w:hAnsi="Cambria Math" w:cs="Tahoma"/>
                    </w:rPr>
                    <m:t>TI</m:t>
                  </m:r>
                </m:sub>
              </m:sSub>
            </m:e>
          </m:nary>
        </m:oMath>
      </m:oMathPara>
    </w:p>
    <w:p w14:paraId="31F17E89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w:r w:rsidRPr="00771D4F">
        <w:rPr>
          <w:rFonts w:ascii="Tahoma" w:hAnsi="Tahoma" w:cs="Tahoma"/>
        </w:rPr>
        <w:t>kjer pomeni:</w:t>
      </w:r>
    </w:p>
    <w:p w14:paraId="18901E52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NC</m:t>
            </m:r>
          </m:e>
          <m:sub>
            <m:r>
              <w:rPr>
                <w:rFonts w:ascii="Cambria Math" w:hAnsi="Cambria Math" w:cs="Tahoma"/>
              </w:rPr>
              <m:t>min</m:t>
            </m:r>
          </m:sub>
        </m:sSub>
      </m:oMath>
      <w:r w:rsidRPr="00771D4F">
        <w:rPr>
          <w:rFonts w:ascii="Tahoma" w:hAnsi="Tahoma" w:cs="Tahoma"/>
        </w:rPr>
        <w:t xml:space="preserve"> = najnižja ponudbena cena avtobusa</w:t>
      </w:r>
    </w:p>
    <w:p w14:paraId="6BE7ED61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NC</m:t>
            </m:r>
          </m:e>
          <m:sub>
            <m:r>
              <w:rPr>
                <w:rFonts w:ascii="Cambria Math" w:hAnsi="Cambria Math" w:cs="Tahoma"/>
              </w:rPr>
              <m:t>x</m:t>
            </m:r>
          </m:sub>
        </m:sSub>
      </m:oMath>
      <w:r w:rsidRPr="00771D4F">
        <w:rPr>
          <w:rFonts w:ascii="Tahoma" w:hAnsi="Tahoma" w:cs="Tahoma"/>
        </w:rPr>
        <w:t xml:space="preserve"> = ponudbena cena avtobusa x</w:t>
      </w:r>
    </w:p>
    <w:p w14:paraId="3B8A87EB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m:oMath>
        <m:sSub>
          <m:sSubPr>
            <m:ctrlPr>
              <w:rPr>
                <w:rFonts w:ascii="Cambria Math" w:hAnsi="Cambria Math" w:cs="Tahoma"/>
                <w:i/>
              </w:rPr>
            </m:ctrlPr>
          </m:sSubPr>
          <m:e>
            <m:r>
              <w:rPr>
                <w:rFonts w:ascii="Cambria Math" w:hAnsi="Cambria Math" w:cs="Tahoma"/>
              </w:rPr>
              <m:t>T</m:t>
            </m:r>
          </m:e>
          <m:sub>
            <m:r>
              <w:rPr>
                <w:rFonts w:ascii="Cambria Math" w:hAnsi="Cambria Math" w:cs="Tahoma"/>
              </w:rPr>
              <m:t>TI</m:t>
            </m:r>
          </m:sub>
        </m:sSub>
      </m:oMath>
      <w:r w:rsidRPr="00771D4F">
        <w:rPr>
          <w:rFonts w:ascii="Tahoma" w:hAnsi="Tahoma" w:cs="Tahoma"/>
        </w:rPr>
        <w:t xml:space="preserve"> = točke za tehnično izvedbo posamezne komponente avtobusa</w:t>
      </w:r>
    </w:p>
    <w:p w14:paraId="4C8D0894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</w:p>
    <w:p w14:paraId="598EF72C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w:r w:rsidRPr="00771D4F">
        <w:rPr>
          <w:rFonts w:ascii="Tahoma" w:hAnsi="Tahoma" w:cs="Tahoma"/>
        </w:rPr>
        <w:t>Najvišje skupno število točk pri merilu »nabavna oz. ponudbena cena avtobusa« znaša 1000 točk.</w:t>
      </w:r>
    </w:p>
    <w:p w14:paraId="5CAD31EB" w14:textId="77777777" w:rsidR="00875D93" w:rsidRPr="00771D4F" w:rsidRDefault="00875D93" w:rsidP="00875D93">
      <w:pPr>
        <w:keepNext/>
        <w:keepLines/>
        <w:rPr>
          <w:rFonts w:ascii="Tahoma" w:hAnsi="Tahoma" w:cs="Tahoma"/>
          <w:b/>
          <w:color w:val="000000"/>
        </w:rPr>
      </w:pPr>
    </w:p>
    <w:p w14:paraId="7B60E387" w14:textId="77777777" w:rsidR="00875D93" w:rsidRPr="00771D4F" w:rsidRDefault="00875D93" w:rsidP="00875D93">
      <w:pPr>
        <w:pStyle w:val="Odstavekseznama"/>
        <w:keepNext/>
        <w:keepLines/>
        <w:numPr>
          <w:ilvl w:val="0"/>
          <w:numId w:val="3"/>
        </w:numPr>
        <w:ind w:left="284" w:hanging="284"/>
        <w:rPr>
          <w:rFonts w:ascii="Tahoma" w:hAnsi="Tahoma" w:cs="Tahoma"/>
          <w:b/>
          <w:color w:val="000000"/>
        </w:rPr>
      </w:pPr>
      <w:r w:rsidRPr="00771D4F">
        <w:rPr>
          <w:rFonts w:ascii="Tahoma" w:hAnsi="Tahoma" w:cs="Tahoma"/>
          <w:b/>
          <w:color w:val="000000"/>
        </w:rPr>
        <w:t>Merilo »Tehnična izvedba ponujenih avtobusov«</w:t>
      </w:r>
    </w:p>
    <w:p w14:paraId="4F05A61B" w14:textId="77777777" w:rsidR="00875D93" w:rsidRPr="00771D4F" w:rsidRDefault="00875D93" w:rsidP="00875D93">
      <w:pPr>
        <w:pStyle w:val="Odstavekseznama"/>
        <w:keepNext/>
        <w:keepLines/>
        <w:ind w:left="720"/>
        <w:rPr>
          <w:rFonts w:ascii="Tahoma" w:hAnsi="Tahoma" w:cs="Tahoma"/>
          <w:b/>
          <w:color w:val="000000"/>
        </w:rPr>
      </w:pPr>
    </w:p>
    <w:p w14:paraId="26C24196" w14:textId="77777777" w:rsidR="00875D93" w:rsidRPr="00771D4F" w:rsidRDefault="00875D93" w:rsidP="00875D93">
      <w:pPr>
        <w:keepNext/>
        <w:keepLines/>
        <w:rPr>
          <w:rFonts w:ascii="Tahoma" w:hAnsi="Tahoma" w:cs="Tahoma"/>
        </w:rPr>
      </w:pPr>
      <w:r w:rsidRPr="00771D4F">
        <w:rPr>
          <w:rFonts w:ascii="Tahoma" w:hAnsi="Tahoma" w:cs="Tahoma"/>
          <w:b/>
          <w:color w:val="000000"/>
        </w:rPr>
        <w:t xml:space="preserve">TOČKE ZA TEHNIČNO IZVEDBO POSAMEZNE KOMPONENTE </w:t>
      </w:r>
      <w:r w:rsidRPr="00771D4F">
        <w:rPr>
          <w:rFonts w:ascii="Tahoma" w:hAnsi="Tahoma" w:cs="Tahoma"/>
          <w:b/>
        </w:rPr>
        <w:t>18 m MESTNEGA NIZKOPODNEGA AVTOBUSA RAZREDA I</w:t>
      </w:r>
      <w:r w:rsidRPr="00771D4F">
        <w:rPr>
          <w:rFonts w:ascii="Tahoma" w:hAnsi="Tahoma" w:cs="Tahoma"/>
          <w:b/>
          <w:color w:val="000000"/>
        </w:rPr>
        <w:t>:</w:t>
      </w:r>
    </w:p>
    <w:tbl>
      <w:tblPr>
        <w:tblW w:w="5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960"/>
      </w:tblGrid>
      <w:tr w:rsidR="00AE78BE" w14:paraId="67277F38" w14:textId="77777777" w:rsidTr="00AE78BE">
        <w:trPr>
          <w:trHeight w:val="555"/>
          <w:jc w:val="center"/>
        </w:trPr>
        <w:tc>
          <w:tcPr>
            <w:tcW w:w="48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620CDA" w14:textId="77777777" w:rsidR="00AE78BE" w:rsidRDefault="00AE78BE">
            <w:pPr>
              <w:keepNext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lastRenderedPageBreak/>
              <w:t>Izvedba komponente vozila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93D38C" w14:textId="77777777" w:rsidR="00AE78BE" w:rsidRDefault="00AE78BE">
            <w:pPr>
              <w:keepNext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Točke (T</w:t>
            </w:r>
            <w:r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TI</w:t>
            </w:r>
            <w:r>
              <w:rPr>
                <w:rFonts w:ascii="Tahoma" w:hAnsi="Tahoma" w:cs="Tahoma"/>
                <w:b/>
                <w:bCs/>
                <w:color w:val="000000"/>
              </w:rPr>
              <w:t>)</w:t>
            </w:r>
          </w:p>
        </w:tc>
      </w:tr>
      <w:tr w:rsidR="00AE78BE" w:rsidRPr="00AE78BE" w14:paraId="09BCDB2F" w14:textId="77777777" w:rsidTr="00AE78BE">
        <w:trPr>
          <w:trHeight w:val="315"/>
          <w:jc w:val="center"/>
        </w:trPr>
        <w:tc>
          <w:tcPr>
            <w:tcW w:w="48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A24448" w14:textId="77777777" w:rsidR="00AE78BE" w:rsidRPr="00AE78BE" w:rsidRDefault="00AE78BE">
            <w:pPr>
              <w:keepNext/>
              <w:spacing w:line="276" w:lineRule="auto"/>
              <w:rPr>
                <w:rFonts w:ascii="Tahoma" w:hAnsi="Tahoma" w:cs="Tahoma"/>
              </w:rPr>
            </w:pPr>
            <w:r w:rsidRPr="00AE78BE">
              <w:rPr>
                <w:rFonts w:ascii="Tahoma" w:hAnsi="Tahoma" w:cs="Tahoma"/>
                <w:color w:val="000000"/>
              </w:rPr>
              <w:t>Kapaciteta visoko napetostnega baterijskega sklopa večja od 600 kWh.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62237A1" w14:textId="77777777" w:rsidR="00AE78BE" w:rsidRPr="00AE78BE" w:rsidRDefault="00AE78BE">
            <w:pPr>
              <w:keepNext/>
              <w:jc w:val="center"/>
              <w:rPr>
                <w:rFonts w:ascii="Tahoma" w:hAnsi="Tahoma" w:cs="Tahoma"/>
                <w:color w:val="000000"/>
              </w:rPr>
            </w:pPr>
            <w:r w:rsidRPr="00AE78BE">
              <w:rPr>
                <w:color w:val="000000"/>
              </w:rPr>
              <w:t>30</w:t>
            </w:r>
          </w:p>
        </w:tc>
      </w:tr>
      <w:tr w:rsidR="00AE78BE" w:rsidRPr="00AE78BE" w14:paraId="3A0BF6BF" w14:textId="77777777" w:rsidTr="00AE78BE">
        <w:trPr>
          <w:trHeight w:val="315"/>
          <w:jc w:val="center"/>
        </w:trPr>
        <w:tc>
          <w:tcPr>
            <w:tcW w:w="48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704C48" w14:textId="6003D8EC" w:rsidR="00AE78BE" w:rsidRPr="00AE78BE" w:rsidRDefault="00AE78BE">
            <w:pPr>
              <w:keepNext/>
              <w:spacing w:line="276" w:lineRule="auto"/>
              <w:rPr>
                <w:rFonts w:ascii="Tahoma" w:hAnsi="Tahoma" w:cs="Tahoma"/>
                <w:color w:val="000000"/>
              </w:rPr>
            </w:pPr>
            <w:r w:rsidRPr="00AE78BE">
              <w:rPr>
                <w:rFonts w:ascii="Tahoma" w:hAnsi="Tahoma" w:cs="Tahoma"/>
                <w:color w:val="000000"/>
              </w:rPr>
              <w:t xml:space="preserve">Kapaciteta visoko napetostnega baterijskega sklopa večja od 700 kWh.*ponudnik prejme tudi točke pod </w:t>
            </w:r>
            <w:r w:rsidRPr="00AE78BE">
              <w:rPr>
                <w:rFonts w:ascii="Tahoma" w:hAnsi="Tahoma" w:cs="Tahoma"/>
                <w:color w:val="000000"/>
              </w:rPr>
              <w:t>prejšnjo točko (od 600kWh)</w:t>
            </w:r>
            <w:r w:rsidRPr="00AE78BE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2B4BEA" w14:textId="77777777" w:rsidR="00AE78BE" w:rsidRPr="00AE78BE" w:rsidRDefault="00AE78BE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 w:rsidRPr="00AE78BE">
              <w:rPr>
                <w:color w:val="000000"/>
              </w:rPr>
              <w:t>30</w:t>
            </w:r>
          </w:p>
        </w:tc>
      </w:tr>
      <w:tr w:rsidR="00AE78BE" w:rsidRPr="00AE78BE" w14:paraId="403DE613" w14:textId="77777777" w:rsidTr="00AE78BE">
        <w:trPr>
          <w:trHeight w:val="315"/>
          <w:jc w:val="center"/>
        </w:trPr>
        <w:tc>
          <w:tcPr>
            <w:tcW w:w="48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9783D3" w14:textId="77777777" w:rsidR="00AE78BE" w:rsidRPr="00AE78BE" w:rsidRDefault="00AE78BE">
            <w:pPr>
              <w:keepNext/>
              <w:spacing w:line="276" w:lineRule="auto"/>
              <w:rPr>
                <w:rFonts w:ascii="Tahoma" w:hAnsi="Tahoma" w:cs="Tahoma"/>
              </w:rPr>
            </w:pPr>
            <w:r w:rsidRPr="00AE78BE">
              <w:rPr>
                <w:rFonts w:ascii="Tahoma" w:hAnsi="Tahoma" w:cs="Tahoma"/>
                <w:color w:val="000000"/>
              </w:rPr>
              <w:t>Elektromotor nameščen neposredno v pogonski osi (v pestu kolesa oz. blizu pesta koles).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A8EAA0" w14:textId="77777777" w:rsidR="00AE78BE" w:rsidRPr="00AE78BE" w:rsidRDefault="00AE78BE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 w:rsidRPr="00AE78BE">
              <w:rPr>
                <w:color w:val="000000"/>
              </w:rPr>
              <w:t>25</w:t>
            </w:r>
          </w:p>
        </w:tc>
      </w:tr>
      <w:tr w:rsidR="00AE78BE" w:rsidRPr="00AE78BE" w14:paraId="675B3EAF" w14:textId="77777777" w:rsidTr="00AE78BE">
        <w:trPr>
          <w:trHeight w:val="525"/>
          <w:jc w:val="center"/>
        </w:trPr>
        <w:tc>
          <w:tcPr>
            <w:tcW w:w="48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C4D54E" w14:textId="77777777" w:rsidR="00AE78BE" w:rsidRPr="00AE78BE" w:rsidRDefault="00AE78BE">
            <w:pPr>
              <w:keepNext/>
              <w:spacing w:line="276" w:lineRule="auto"/>
              <w:jc w:val="both"/>
              <w:rPr>
                <w:rFonts w:ascii="Tahoma" w:hAnsi="Tahoma" w:cs="Tahoma"/>
              </w:rPr>
            </w:pPr>
            <w:r w:rsidRPr="00AE78BE">
              <w:rPr>
                <w:rFonts w:ascii="Tahoma" w:hAnsi="Tahoma" w:cs="Tahoma"/>
                <w:color w:val="000000"/>
              </w:rPr>
              <w:t>Možnost nadzora stanja pogonskega motorja  in nadgradnje programske opreme na daljavo (</w:t>
            </w:r>
            <w:proofErr w:type="spellStart"/>
            <w:r w:rsidRPr="00AE78BE">
              <w:rPr>
                <w:rFonts w:ascii="Tahoma" w:hAnsi="Tahoma" w:cs="Tahoma"/>
                <w:color w:val="000000"/>
              </w:rPr>
              <w:t>Over-the-Air</w:t>
            </w:r>
            <w:proofErr w:type="spellEnd"/>
            <w:r w:rsidRPr="00AE78BE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37BD06" w14:textId="77777777" w:rsidR="00AE78BE" w:rsidRPr="00AE78BE" w:rsidRDefault="00AE78BE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 w:rsidRPr="00AE78BE">
              <w:rPr>
                <w:color w:val="000000"/>
              </w:rPr>
              <w:t>5</w:t>
            </w:r>
          </w:p>
        </w:tc>
      </w:tr>
      <w:tr w:rsidR="00AE78BE" w14:paraId="34C0075E" w14:textId="77777777" w:rsidTr="00AE78BE">
        <w:trPr>
          <w:trHeight w:val="525"/>
          <w:jc w:val="center"/>
        </w:trPr>
        <w:tc>
          <w:tcPr>
            <w:tcW w:w="480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2F3AC4" w14:textId="77777777" w:rsidR="00AE78BE" w:rsidRPr="00AE78BE" w:rsidRDefault="00AE78BE">
            <w:pPr>
              <w:keepNext/>
              <w:spacing w:line="276" w:lineRule="auto"/>
              <w:jc w:val="both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AE78BE">
              <w:rPr>
                <w:rFonts w:ascii="Tahoma" w:hAnsi="Tahoma" w:cs="Tahoma"/>
              </w:rPr>
              <w:t>Vozilo je opremljeno s sistemom termičnega managementa, pri čemer so sistemi v vozilu povezani tako, da HVAC izkorišča odpadno toploto baterij oz. da uporablja toplotno črpalko za segrevanje/hlajenje visokonapetostnih baterij, kadar je to potrebno</w:t>
            </w:r>
          </w:p>
        </w:tc>
        <w:tc>
          <w:tcPr>
            <w:tcW w:w="960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EE1C49" w14:textId="77777777" w:rsidR="00AE78BE" w:rsidRPr="00AE78BE" w:rsidRDefault="00AE78BE">
            <w:pPr>
              <w:keepNext/>
              <w:jc w:val="center"/>
              <w:rPr>
                <w:rFonts w:ascii="Calibri" w:hAnsi="Calibri" w:cs="Calibri"/>
                <w:color w:val="000000"/>
              </w:rPr>
            </w:pPr>
            <w:r w:rsidRPr="00AE78BE">
              <w:rPr>
                <w:color w:val="000000"/>
              </w:rPr>
              <w:t>10</w:t>
            </w:r>
          </w:p>
        </w:tc>
      </w:tr>
    </w:tbl>
    <w:p w14:paraId="61C3212B" w14:textId="77777777" w:rsidR="00875D93" w:rsidRPr="00771D4F" w:rsidRDefault="00875D93" w:rsidP="00875D93">
      <w:pPr>
        <w:keepNext/>
        <w:keepLines/>
        <w:jc w:val="center"/>
        <w:rPr>
          <w:rFonts w:ascii="Tahoma" w:hAnsi="Tahoma" w:cs="Tahoma"/>
        </w:rPr>
      </w:pPr>
    </w:p>
    <w:p w14:paraId="2B7B2B6B" w14:textId="117FCFD8" w:rsidR="009D1442" w:rsidRDefault="00875D93" w:rsidP="00875D93">
      <w:r w:rsidRPr="00771D4F">
        <w:rPr>
          <w:rFonts w:ascii="Tahoma" w:hAnsi="Tahoma" w:cs="Tahoma"/>
        </w:rPr>
        <w:t xml:space="preserve">Najvišje skupno število točk pri merilu »tehnična izvedba ponujenih </w:t>
      </w:r>
      <w:r w:rsidRPr="00AE78BE">
        <w:rPr>
          <w:rFonts w:ascii="Tahoma" w:hAnsi="Tahoma" w:cs="Tahoma"/>
        </w:rPr>
        <w:t xml:space="preserve">avtobusov« znaša </w:t>
      </w:r>
      <w:r w:rsidR="00AE78BE" w:rsidRPr="00AE78BE">
        <w:rPr>
          <w:rFonts w:ascii="Tahoma" w:hAnsi="Tahoma" w:cs="Tahoma"/>
        </w:rPr>
        <w:t>10</w:t>
      </w:r>
      <w:r w:rsidRPr="00AE78BE">
        <w:rPr>
          <w:rFonts w:ascii="Tahoma" w:hAnsi="Tahoma" w:cs="Tahoma"/>
        </w:rPr>
        <w:t>0 točk.</w:t>
      </w:r>
    </w:p>
    <w:sectPr w:rsidR="009D14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16F4F"/>
    <w:multiLevelType w:val="multilevel"/>
    <w:tmpl w:val="49140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360E03B5"/>
    <w:multiLevelType w:val="hybridMultilevel"/>
    <w:tmpl w:val="032619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3700C"/>
    <w:multiLevelType w:val="hybridMultilevel"/>
    <w:tmpl w:val="588C52A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005A6C"/>
    <w:multiLevelType w:val="hybridMultilevel"/>
    <w:tmpl w:val="279E53BE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93"/>
    <w:rsid w:val="0006291C"/>
    <w:rsid w:val="00200B5B"/>
    <w:rsid w:val="00875D93"/>
    <w:rsid w:val="009D1442"/>
    <w:rsid w:val="00AE78BE"/>
    <w:rsid w:val="00CB58CB"/>
    <w:rsid w:val="00F22506"/>
    <w:rsid w:val="00FD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2146"/>
  <w15:chartTrackingRefBased/>
  <w15:docId w15:val="{F9FD4AAB-82F7-423F-BF10-212BF9AC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5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875D93"/>
    <w:pPr>
      <w:ind w:left="708"/>
    </w:p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qFormat/>
    <w:rsid w:val="00875D93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Nahtigal</dc:creator>
  <cp:keywords/>
  <dc:description/>
  <cp:lastModifiedBy>Jana Nahtigal</cp:lastModifiedBy>
  <cp:revision>1</cp:revision>
  <dcterms:created xsi:type="dcterms:W3CDTF">2025-02-21T09:07:00Z</dcterms:created>
  <dcterms:modified xsi:type="dcterms:W3CDTF">2025-02-21T09:35:00Z</dcterms:modified>
</cp:coreProperties>
</file>